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D3BD" w14:textId="341C288D" w:rsidR="00BE038E" w:rsidRDefault="007239EC" w:rsidP="007239EC">
      <w:pPr>
        <w:jc w:val="center"/>
      </w:pPr>
      <w:r>
        <w:rPr>
          <w:noProof/>
        </w:rPr>
        <w:drawing>
          <wp:inline distT="0" distB="0" distL="0" distR="0" wp14:anchorId="3A6DAA1F" wp14:editId="3499DF07">
            <wp:extent cx="2085672" cy="1209040"/>
            <wp:effectExtent l="0" t="0" r="0" b="0"/>
            <wp:docPr id="3" name="Picture 2">
              <a:extLst xmlns:a="http://schemas.openxmlformats.org/drawingml/2006/main">
                <a:ext uri="{FF2B5EF4-FFF2-40B4-BE49-F238E27FC236}">
                  <a16:creationId xmlns:a16="http://schemas.microsoft.com/office/drawing/2014/main" id="{D7EE75FF-D0BF-405D-82AC-6D6048BF39F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7EE75FF-D0BF-405D-82AC-6D6048BF39FD}"/>
                        </a:ext>
                      </a:extLst>
                    </pic:cNvPr>
                    <pic:cNvPicPr/>
                  </pic:nvPicPr>
                  <pic:blipFill>
                    <a:blip r:embed="rId4">
                      <a:extLst>
                        <a:ext uri="{28A0092B-C50C-407E-A947-70E740481C1C}">
                          <a14:useLocalDpi xmlns:a14="http://schemas.microsoft.com/office/drawing/2010/main" val="0"/>
                        </a:ext>
                      </a:extLst>
                    </a:blip>
                    <a:stretch>
                      <a:fillRect/>
                    </a:stretch>
                  </pic:blipFill>
                  <pic:spPr bwMode="auto">
                    <a:xfrm>
                      <a:off x="0" y="0"/>
                      <a:ext cx="2119453" cy="1228623"/>
                    </a:xfrm>
                    <a:prstGeom prst="rect">
                      <a:avLst/>
                    </a:prstGeom>
                    <a:noFill/>
                    <a:ln>
                      <a:noFill/>
                    </a:ln>
                  </pic:spPr>
                </pic:pic>
              </a:graphicData>
            </a:graphic>
          </wp:inline>
        </w:drawing>
      </w:r>
    </w:p>
    <w:p w14:paraId="374C8190" w14:textId="0D135113" w:rsidR="007239EC" w:rsidRDefault="007239EC" w:rsidP="007239EC"/>
    <w:p w14:paraId="3919FEA0" w14:textId="09F21F97" w:rsidR="007239EC" w:rsidRPr="00722482" w:rsidRDefault="007239EC" w:rsidP="007239EC">
      <w:pPr>
        <w:jc w:val="center"/>
        <w:rPr>
          <w:rFonts w:ascii="Rockwell Extra Bold" w:hAnsi="Rockwell Extra Bold"/>
          <w:b/>
          <w:bCs/>
          <w:sz w:val="32"/>
          <w:szCs w:val="32"/>
        </w:rPr>
      </w:pPr>
      <w:r w:rsidRPr="00722482">
        <w:rPr>
          <w:rFonts w:ascii="Rockwell Extra Bold" w:hAnsi="Rockwell Extra Bold"/>
          <w:b/>
          <w:bCs/>
          <w:sz w:val="32"/>
          <w:szCs w:val="32"/>
        </w:rPr>
        <w:t>WOODS CROSS STRENGTH AND CONDITIONING</w:t>
      </w:r>
    </w:p>
    <w:p w14:paraId="28B29563" w14:textId="6619ACE9" w:rsidR="007239EC" w:rsidRDefault="007239EC" w:rsidP="007239EC">
      <w:pPr>
        <w:jc w:val="center"/>
        <w:rPr>
          <w:b/>
          <w:bCs/>
          <w:sz w:val="36"/>
          <w:szCs w:val="36"/>
        </w:rPr>
      </w:pPr>
    </w:p>
    <w:p w14:paraId="020B5E75" w14:textId="2DFC9A8C" w:rsidR="007239EC" w:rsidRPr="007239EC" w:rsidRDefault="007239EC" w:rsidP="007239EC">
      <w:pPr>
        <w:rPr>
          <w:sz w:val="24"/>
          <w:szCs w:val="24"/>
        </w:rPr>
      </w:pPr>
      <w:r>
        <w:rPr>
          <w:sz w:val="24"/>
          <w:szCs w:val="24"/>
        </w:rPr>
        <w:t>The Mission of the Woods Cross Strength and Conditioning program is to promote growth and development (Physically/Mentally), to teach proper technique, offer sound nutritional feedback and ensure durability and injury prevention.  It is the objective of the S &amp; C program to provide the Woods Cross Football program, and its athletes a comprehensive plan to achieve all strength and conditioning goals.  We will provide our student athletes with the means to train with intensity, commitment, desire, discipline and dedication while maintaining teamwork throughout.</w:t>
      </w:r>
    </w:p>
    <w:sectPr w:rsidR="007239EC" w:rsidRPr="0072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EC"/>
    <w:rsid w:val="00722482"/>
    <w:rsid w:val="007239EC"/>
    <w:rsid w:val="00853793"/>
    <w:rsid w:val="00BE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3D87"/>
  <w15:chartTrackingRefBased/>
  <w15:docId w15:val="{E2D9D077-3B4B-410F-88EE-5EC0CC5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Benson</dc:creator>
  <cp:keywords/>
  <dc:description/>
  <cp:lastModifiedBy>Brody Benson</cp:lastModifiedBy>
  <cp:revision>2</cp:revision>
  <dcterms:created xsi:type="dcterms:W3CDTF">2022-03-07T17:07:00Z</dcterms:created>
  <dcterms:modified xsi:type="dcterms:W3CDTF">2022-03-07T17:07:00Z</dcterms:modified>
</cp:coreProperties>
</file>